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A4288" w:rsidRDefault="009A4288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</w:p>
    <w:p w:rsidR="003E2778" w:rsidRDefault="009A4288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9A428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Имущество родителей реализуется с торгов: как защитить права детей?</w:t>
      </w:r>
    </w:p>
    <w:p w:rsidR="009A4288" w:rsidRDefault="009A4288" w:rsidP="009A428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9A4288" w:rsidRPr="009A4288" w:rsidRDefault="009A4288" w:rsidP="009A4288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Сделки по отчуждению недвижимого имущества, принадлежащего несовершеннолетним детям, совершаются с предварительного разрешения органа опеки и попечительства. </w:t>
      </w:r>
    </w:p>
    <w:p w:rsidR="009A4288" w:rsidRPr="009A4288" w:rsidRDefault="009A4288" w:rsidP="009A4288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Случаи, когда имущество, оформленное в долевую собственность семьи с детьми, реализуется с торгов при банкротстве родителей, не являются исключением и требуют наличия соответствующего разрешения на отчуждение доли ребенка. Кроме этого такая сделка подлежит обязательному нотариальному удостоверению. Несоблюдение нотариальной формы влечет недействительность сделки.</w:t>
      </w:r>
    </w:p>
    <w:p w:rsidR="009A4288" w:rsidRPr="009A4288" w:rsidRDefault="009A4288" w:rsidP="009A4288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Представитель органа опеки может выступать в качестве третьего лица по делам о банкротстве для рассмотрения вопросов, связанных с включением в конкурсную массу имущества, в котором есть доля несовершеннолетнего.</w:t>
      </w:r>
    </w:p>
    <w:p w:rsidR="009A4288" w:rsidRPr="009A4288" w:rsidRDefault="009A4288" w:rsidP="009A4288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A428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«Социальная политика в части мер поддержки детей активно развивается и защищается государством. Разрешение органов опеки на отчуждение жилого помещения, одним из собственников которого является ребенок, выдается при условии одновременного приобретения на и</w:t>
      </w:r>
      <w:bookmarkStart w:id="0" w:name="_GoBack"/>
      <w:bookmarkEnd w:id="0"/>
      <w:r w:rsidRPr="009A428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мя несовершеннолетнего равноценной или большей жилой площади, что является действенной мерой защиты прав детей»,</w:t>
      </w:r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- отмечает </w:t>
      </w:r>
      <w:r w:rsidRPr="009A428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Наталья </w:t>
      </w:r>
      <w:proofErr w:type="spellStart"/>
      <w:r w:rsidRPr="009A428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Ивчатова</w:t>
      </w:r>
      <w:proofErr w:type="spellEnd"/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заместитель руководителя новосибирского </w:t>
      </w:r>
      <w:proofErr w:type="spellStart"/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097C70" w:rsidRPr="00E26B3D" w:rsidRDefault="009A4288" w:rsidP="00E26B3D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A428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рамках взаимодействия с арбитражными управляющими по вопросам правоприменительной практики в делах о банкротстве обращено внимание на необходимость соблюдения норм закона, касающихся обеспечения имущественных прав детей при реализации недвижимости родителей с торгов.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E26B3D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372" w:rsidRDefault="00250372" w:rsidP="00747FDB">
      <w:pPr>
        <w:spacing w:after="0" w:line="240" w:lineRule="auto"/>
      </w:pPr>
      <w:r>
        <w:separator/>
      </w:r>
    </w:p>
  </w:endnote>
  <w:endnote w:type="continuationSeparator" w:id="0">
    <w:p w:rsidR="00250372" w:rsidRDefault="0025037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372" w:rsidRDefault="00250372" w:rsidP="00747FDB">
      <w:pPr>
        <w:spacing w:after="0" w:line="240" w:lineRule="auto"/>
      </w:pPr>
      <w:r>
        <w:separator/>
      </w:r>
    </w:p>
  </w:footnote>
  <w:footnote w:type="continuationSeparator" w:id="0">
    <w:p w:rsidR="00250372" w:rsidRDefault="0025037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D6C8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D6C8B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0372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26B3D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2024-06-05T03:10:00Z</dcterms:modified>
</cp:coreProperties>
</file>